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D" w:rsidRDefault="00680806" w:rsidP="00DA241C">
      <w:pPr>
        <w:shd w:val="clear" w:color="auto" w:fill="FFFFFF"/>
        <w:tabs>
          <w:tab w:val="left" w:pos="851"/>
        </w:tabs>
        <w:spacing w:after="36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На основу </w:t>
      </w:r>
      <w:hyperlink r:id="rId7" w:anchor="c0008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члана 8.</w:t>
        </w:r>
      </w:hyperlink>
      <w:r>
        <w:rPr>
          <w:rFonts w:ascii="Arial" w:eastAsia="Times New Roman" w:hAnsi="Arial" w:cs="Arial"/>
          <w:sz w:val="24"/>
          <w:szCs w:val="24"/>
          <w:lang w:val="sr-Latn-RS"/>
        </w:rPr>
        <w:t xml:space="preserve"> став 1. и </w:t>
      </w:r>
      <w:hyperlink r:id="rId8" w:anchor="c0068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члана 68.</w:t>
        </w:r>
      </w:hyperlink>
      <w:r>
        <w:rPr>
          <w:rFonts w:ascii="Arial" w:eastAsia="Times New Roman" w:hAnsi="Arial" w:cs="Arial"/>
          <w:sz w:val="24"/>
          <w:szCs w:val="24"/>
          <w:lang w:val="sr-Latn-RS"/>
        </w:rPr>
        <w:t xml:space="preserve"> став 4. Закона о Народној скупштини (</w:t>
      </w:r>
      <w:r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Latn-RS"/>
        </w:rPr>
        <w:t>Службени гласник Републике Србије</w:t>
      </w:r>
      <w:r>
        <w:rPr>
          <w:rFonts w:ascii="Arial" w:eastAsia="Times New Roman" w:hAnsi="Arial" w:cs="Arial"/>
          <w:sz w:val="24"/>
          <w:szCs w:val="24"/>
          <w:lang w:val="sr-Cyrl-RS"/>
        </w:rPr>
        <w:t>“</w:t>
      </w:r>
      <w:r>
        <w:rPr>
          <w:rFonts w:ascii="Arial" w:eastAsia="Times New Roman" w:hAnsi="Arial" w:cs="Arial"/>
          <w:sz w:val="24"/>
          <w:szCs w:val="24"/>
          <w:lang w:val="sr-Latn-RS"/>
        </w:rPr>
        <w:t>, бр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9/10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108/13 - др. закон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), </w:t>
      </w:r>
    </w:p>
    <w:p w:rsidR="00680806" w:rsidRDefault="00680806" w:rsidP="00DA241C">
      <w:pPr>
        <w:shd w:val="clear" w:color="auto" w:fill="FFFFFF"/>
        <w:tabs>
          <w:tab w:val="left" w:pos="851"/>
        </w:tabs>
        <w:spacing w:after="36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Народна скупштина Републике Србије, 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 xml:space="preserve">на 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 xml:space="preserve">Трећој седници Првог редовног </w:t>
      </w:r>
      <w:r>
        <w:rPr>
          <w:rFonts w:ascii="Arial" w:eastAsia="Times New Roman" w:hAnsi="Arial" w:cs="Arial"/>
          <w:sz w:val="24"/>
          <w:szCs w:val="24"/>
          <w:lang w:val="sr-Latn-RS"/>
        </w:rPr>
        <w:t>заседања у 201</w:t>
      </w:r>
      <w:r>
        <w:rPr>
          <w:rFonts w:ascii="Arial" w:eastAsia="Times New Roman" w:hAnsi="Arial" w:cs="Arial"/>
          <w:sz w:val="24"/>
          <w:szCs w:val="24"/>
          <w:lang w:val="sr-Cyrl-RS"/>
        </w:rPr>
        <w:t>8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. години, одржаној 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>. априла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201</w:t>
      </w:r>
      <w:r>
        <w:rPr>
          <w:rFonts w:ascii="Arial" w:eastAsia="Times New Roman" w:hAnsi="Arial" w:cs="Arial"/>
          <w:sz w:val="24"/>
          <w:szCs w:val="24"/>
          <w:lang w:val="sr-Cyrl-RS"/>
        </w:rPr>
        <w:t>8</w:t>
      </w:r>
      <w:r>
        <w:rPr>
          <w:rFonts w:ascii="Arial" w:eastAsia="Times New Roman" w:hAnsi="Arial" w:cs="Arial"/>
          <w:sz w:val="24"/>
          <w:szCs w:val="24"/>
          <w:lang w:val="sr-Latn-RS"/>
        </w:rPr>
        <w:t>. године, донела је</w:t>
      </w:r>
    </w:p>
    <w:p w:rsidR="00680806" w:rsidRDefault="00680806" w:rsidP="00680806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val="sr-Latn-RS"/>
        </w:rPr>
      </w:pP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О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Д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Л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У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К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Cyrl-RS"/>
        </w:rPr>
        <w:t xml:space="preserve"> </w:t>
      </w:r>
      <w:r w:rsidRPr="00CE092D">
        <w:rPr>
          <w:rFonts w:ascii="Arial" w:eastAsia="Times New Roman" w:hAnsi="Arial" w:cs="Arial"/>
          <w:b/>
          <w:bCs/>
          <w:kern w:val="36"/>
          <w:sz w:val="28"/>
          <w:szCs w:val="24"/>
          <w:lang w:val="sr-Latn-RS"/>
        </w:rPr>
        <w:t>У</w:t>
      </w:r>
      <w:r>
        <w:rPr>
          <w:rFonts w:ascii="Arial" w:eastAsia="Times New Roman" w:hAnsi="Arial" w:cs="Arial"/>
          <w:bCs/>
          <w:kern w:val="36"/>
          <w:sz w:val="24"/>
          <w:szCs w:val="24"/>
          <w:lang w:val="sr-Latn-RS"/>
        </w:rPr>
        <w:br/>
      </w:r>
      <w:r w:rsidRPr="00CE092D">
        <w:rPr>
          <w:rFonts w:ascii="Arial" w:eastAsia="Times New Roman" w:hAnsi="Arial" w:cs="Arial"/>
          <w:b/>
          <w:bCs/>
          <w:kern w:val="36"/>
          <w:sz w:val="24"/>
          <w:szCs w:val="24"/>
          <w:lang w:val="sr-Latn-RS"/>
        </w:rPr>
        <w:t>О ОРГАНИЗАЦИЈИ И РАДУ СЛУЖБЕ НАРОДНЕ СКУПШТИНЕ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0" w:name="toc1"/>
      <w:bookmarkEnd w:id="0"/>
      <w:r>
        <w:rPr>
          <w:rFonts w:ascii="Arial" w:eastAsia="Times New Roman" w:hAnsi="Arial" w:cs="Arial"/>
          <w:bCs/>
          <w:sz w:val="24"/>
          <w:szCs w:val="24"/>
          <w:lang w:val="sr-Latn-RS"/>
        </w:rPr>
        <w:t>I. УВОДНЕ ОДРЕДБЕ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1.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Овом одлуком уређују се организација и рад Службе Народне скупштине (у даљем тексту: Служба), утврђују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основне и посебне унутрашње </w:t>
      </w:r>
      <w:r>
        <w:rPr>
          <w:rFonts w:ascii="Arial" w:eastAsia="Times New Roman" w:hAnsi="Arial" w:cs="Arial"/>
          <w:sz w:val="24"/>
          <w:szCs w:val="24"/>
          <w:lang w:val="sr-Latn-RS"/>
        </w:rPr>
        <w:t>организационе јединице, одређују и разврставају положаји и радна места запослених у Служби и уређују друга питања од значаја за рад Службе.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Служба обавља стручне, административно-техничке и друге послове за потребе Народне скупштине и њених радних тела, народних посланика, председника Народне скупштине и потпредседника Народне скупштине, посланичких група у Народној скупштини,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Жалбене комисије Народне скупштине, </w:t>
      </w:r>
      <w:r>
        <w:rPr>
          <w:rFonts w:ascii="Arial" w:eastAsia="Times New Roman" w:hAnsi="Arial" w:cs="Arial"/>
          <w:sz w:val="24"/>
          <w:szCs w:val="24"/>
          <w:lang w:val="sr-Latn-RS"/>
        </w:rPr>
        <w:t>Републичке изборне комисије, као и друге послове у складу са законом, Пословником Народне скупштине и другим актима Народне скупштине и радних тела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Послове из става 1. 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>
        <w:rPr>
          <w:rFonts w:ascii="Arial" w:eastAsia="Times New Roman" w:hAnsi="Arial" w:cs="Arial"/>
          <w:sz w:val="24"/>
          <w:szCs w:val="24"/>
          <w:lang w:val="sr-Latn-RS"/>
        </w:rPr>
        <w:t>ве тачке Служба обавља стручно, квалитетно, ефикасно, економично, непристрасно и политички неутрално.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II.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УНУТРАШЊА ОРГАНИЗАЦИЈА СЛУЖБЕ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>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Служба се организује на функционалном принципу и обавља послове из </w:t>
      </w:r>
      <w:r>
        <w:rPr>
          <w:rFonts w:ascii="Arial" w:eastAsia="Times New Roman" w:hAnsi="Arial" w:cs="Arial"/>
          <w:sz w:val="24"/>
          <w:szCs w:val="24"/>
          <w:lang w:val="sr-Cyrl-RS"/>
        </w:rPr>
        <w:t>свог делокруга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као јединствена </w:t>
      </w:r>
      <w:r>
        <w:rPr>
          <w:rFonts w:ascii="Arial" w:eastAsia="Times New Roman" w:hAnsi="Arial" w:cs="Arial"/>
          <w:sz w:val="24"/>
          <w:szCs w:val="24"/>
          <w:lang w:val="sr-Cyrl-RS"/>
        </w:rPr>
        <w:t>с</w:t>
      </w:r>
      <w:r>
        <w:rPr>
          <w:rFonts w:ascii="Arial" w:eastAsia="Times New Roman" w:hAnsi="Arial" w:cs="Arial"/>
          <w:sz w:val="24"/>
          <w:szCs w:val="24"/>
          <w:lang w:val="sr-Latn-RS"/>
        </w:rPr>
        <w:t>лужба.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>Организационе јединице Службе образују се као основне, посебне и уже унутрашње јединице.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Основна унутрашња јединица је сектор, у коме су обједињени послови који представљају посебну област рада, односно међусобно повезани послови више ужих унутрашњих јединица.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У Служби се </w:t>
      </w:r>
      <w:r>
        <w:rPr>
          <w:rFonts w:ascii="Arial" w:eastAsia="Times New Roman" w:hAnsi="Arial" w:cs="Arial"/>
          <w:sz w:val="24"/>
          <w:szCs w:val="24"/>
          <w:lang w:val="sr-Cyrl-RS"/>
        </w:rPr>
        <w:t>образују следећи сектори</w:t>
      </w:r>
      <w:r>
        <w:rPr>
          <w:rFonts w:ascii="Arial" w:eastAsia="Times New Roman" w:hAnsi="Arial" w:cs="Arial"/>
          <w:sz w:val="24"/>
          <w:szCs w:val="24"/>
          <w:lang w:val="sr-Latn-RS"/>
        </w:rPr>
        <w:t>: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Сектор за законодавство;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Сектор за међународне односе;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Сектор за опште послове, и</w:t>
      </w:r>
    </w:p>
    <w:p w:rsidR="00680806" w:rsidRDefault="00680806" w:rsidP="00680806">
      <w:pPr>
        <w:shd w:val="clear" w:color="auto" w:fill="FFFFFF"/>
        <w:tabs>
          <w:tab w:val="left" w:pos="851"/>
          <w:tab w:val="left" w:pos="99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Сектор за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оперативно-техничке послове и информационе технологије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Посебне унутрашње јединице су Кабинет председника Народне скупштине и Генерални секретаријат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  <w:t>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У оквиру основних и посебних унутрашњих јединица могу се образовати одељења, одсеци и групе, као уже унутрашње јединице.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Правилником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о унутрашњем уређењу и систематизацији радних места у Служби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утврђују се послови који се обављају у основним и посебним унутрашњим јединицима, као и уже унутрашње јединице и њихов делокруг.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1" w:name="toc2"/>
      <w:bookmarkEnd w:id="1"/>
      <w:r>
        <w:rPr>
          <w:rFonts w:ascii="Arial" w:eastAsia="Times New Roman" w:hAnsi="Arial" w:cs="Arial"/>
          <w:bCs/>
          <w:sz w:val="24"/>
          <w:szCs w:val="24"/>
        </w:rPr>
        <w:t xml:space="preserve">III. 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>РУКОВОЂЕЊЕ СЛУЖБОМ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8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Службом руководи генерални секретар Народне скупштине (у даљем тексту: генерални секретар).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Генерални секретар организује и обезбеђује јединствен рад Службе и обавља друге послове у складу са законом, Пословником Народне скупштине и овом одлуком.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17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9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У руковођењ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радом Службе, заснивањ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и престанк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радног односа запослених, остваривањ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права, дужности и одговорности запослених у Служби, као и коришћењу и располагању средствима за рад Народне скупштине, генерални секретар има права и дужности функционера који руководи државним органом.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10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Генерални секретар има два заменика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који му помажу у раду </w:t>
      </w:r>
      <w:r>
        <w:rPr>
          <w:rFonts w:ascii="Arial" w:hAnsi="Arial" w:cs="Arial"/>
          <w:sz w:val="24"/>
          <w:szCs w:val="24"/>
          <w:lang w:val="sr-Latn-RS"/>
        </w:rPr>
        <w:t xml:space="preserve">у оквиру овлашћења која </w:t>
      </w:r>
      <w:r>
        <w:rPr>
          <w:rFonts w:ascii="Arial" w:hAnsi="Arial" w:cs="Arial"/>
          <w:sz w:val="24"/>
          <w:szCs w:val="24"/>
          <w:lang w:val="sr-Cyrl-RS"/>
        </w:rPr>
        <w:t>им</w:t>
      </w:r>
      <w:r>
        <w:rPr>
          <w:rFonts w:ascii="Arial" w:hAnsi="Arial" w:cs="Arial"/>
          <w:sz w:val="24"/>
          <w:szCs w:val="24"/>
          <w:lang w:val="sr-Latn-RS"/>
        </w:rPr>
        <w:t xml:space="preserve"> он одреди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Генерални секретар одређује који га од заменика замењује у случају одсутности или спречености, о чему обавештава председника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Заменик генералног секретара има права и дужности функционера који руководи државним органом.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11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Г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енерални секретар доноси </w:t>
      </w:r>
      <w:r>
        <w:rPr>
          <w:rFonts w:ascii="Arial" w:eastAsia="Times New Roman" w:hAnsi="Arial" w:cs="Arial"/>
          <w:sz w:val="24"/>
          <w:szCs w:val="24"/>
          <w:lang w:val="sr-Cyrl-RS"/>
        </w:rPr>
        <w:t>П</w:t>
      </w:r>
      <w:r>
        <w:rPr>
          <w:rFonts w:ascii="Arial" w:eastAsia="Times New Roman" w:hAnsi="Arial" w:cs="Arial"/>
          <w:sz w:val="24"/>
          <w:szCs w:val="24"/>
          <w:lang w:val="sr-Latn-RS"/>
        </w:rPr>
        <w:t>равилник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 унутрашњем уређењу и систематизацији радних места у Служби, уз сагласност о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дбора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Народне скупштине надлежног </w:t>
      </w:r>
      <w:r>
        <w:rPr>
          <w:rFonts w:ascii="Arial" w:eastAsia="Times New Roman" w:hAnsi="Arial" w:cs="Arial"/>
          <w:sz w:val="24"/>
          <w:szCs w:val="24"/>
          <w:lang w:val="sr-Latn-RS"/>
        </w:rPr>
        <w:t>за 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питања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2" w:name="toc3"/>
      <w:bookmarkEnd w:id="2"/>
      <w:r>
        <w:rPr>
          <w:rFonts w:ascii="Arial" w:eastAsia="Times New Roman" w:hAnsi="Arial" w:cs="Arial"/>
          <w:bCs/>
          <w:sz w:val="24"/>
          <w:szCs w:val="24"/>
        </w:rPr>
        <w:t xml:space="preserve">IV. </w:t>
      </w:r>
      <w:r>
        <w:rPr>
          <w:rFonts w:ascii="Arial" w:eastAsia="Times New Roman" w:hAnsi="Arial" w:cs="Arial"/>
          <w:bCs/>
          <w:sz w:val="24"/>
          <w:szCs w:val="24"/>
          <w:lang w:val="sr-Latn-RS"/>
        </w:rPr>
        <w:t>РАДНА МЕСТА И ЗАПОСЛЕНИ У СЛУЖБИ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12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Послове Службе обављају државни службеници и намештеници.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>Радна места на којима раде државни службеници деле се на положаје и извршилачка радна места.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>13.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Положај је радно место на коме државни службеник има овлашћења и одговорности у вођењу и усклађивању рада у Служби.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>Положаји у Служби су шеф Кабинета председника Народне скупштине и помоћник генералног секретара.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ab/>
        <w:t xml:space="preserve">Шефа Кабинета председника Народне скупштине поставља oдбор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Народне скупштине надлежан </w:t>
      </w:r>
      <w:r>
        <w:rPr>
          <w:rFonts w:ascii="Arial" w:eastAsia="Times New Roman" w:hAnsi="Arial" w:cs="Arial"/>
          <w:sz w:val="24"/>
          <w:szCs w:val="24"/>
          <w:lang w:val="sr-Latn-RS"/>
        </w:rPr>
        <w:t>за 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а питања, </w:t>
      </w:r>
      <w:r>
        <w:rPr>
          <w:rFonts w:ascii="Arial" w:eastAsia="Times New Roman" w:hAnsi="Arial" w:cs="Arial"/>
          <w:sz w:val="24"/>
          <w:szCs w:val="24"/>
          <w:lang w:val="sr-Latn-RS"/>
        </w:rPr>
        <w:t>на предлог председника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Шеф Кабинета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председника Народне скупштине 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поставља се на положај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док траје функција </w:t>
      </w:r>
      <w:r>
        <w:rPr>
          <w:rFonts w:ascii="Arial" w:eastAsia="Times New Roman" w:hAnsi="Arial" w:cs="Arial"/>
          <w:sz w:val="24"/>
          <w:szCs w:val="24"/>
          <w:lang w:val="sr-Latn-RS"/>
        </w:rPr>
        <w:t>председника Народне скупштине и разврстава се у другу групу положаја.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Помоћника генералног секретара поставља 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дбор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Народне скупштине надлежан за </w:t>
      </w:r>
      <w:r>
        <w:rPr>
          <w:rFonts w:ascii="Arial" w:eastAsia="Times New Roman" w:hAnsi="Arial" w:cs="Arial"/>
          <w:sz w:val="24"/>
          <w:szCs w:val="24"/>
          <w:lang w:val="sr-Latn-RS"/>
        </w:rPr>
        <w:t>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sr-Latn-RS"/>
        </w:rPr>
        <w:t>питања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на предлог генералног секретара.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Помоћник генералног секретара руководи сектором, поставља се на положај на период од пет година и разврстава се у трећу групу положаја.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Рад на положају престаје у случајевима утврђеним законом. 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Шефу Кабинета председника Народне скупштине рад на положају може да престане пре истека времена на које је постављен и на предлог председника Народне скупштине. 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Престанак рада на положају утврђује о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дбор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Народне скупштине надлежан за </w:t>
      </w:r>
      <w:r>
        <w:rPr>
          <w:rFonts w:ascii="Arial" w:eastAsia="Times New Roman" w:hAnsi="Arial" w:cs="Arial"/>
          <w:sz w:val="24"/>
          <w:szCs w:val="24"/>
          <w:lang w:val="sr-Latn-RS"/>
        </w:rPr>
        <w:t>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>а питања.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14.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Извршилачка радна места су сва радна места државних службеника која нису положаји, укључујући и радна места руководилаца ужих унутрашњих организационих јединица, и разврставају се по звањима.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Извршилачка радна места се утврђују у оквиру унутрашњих јединица, а изузетно могу да буду утврђена и као радна места самосталних извршилаца изван свих унутрашњих јединица, уколико због своје природе не могу бити сврстана ни у једну унутрашњу јединицу.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15.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Радна места намештеника представљају радна места на којима се обављају пратећи помоћно-технички послови и разврставају се по врстама.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16.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Запослени на радним местима у Кабинету председника Народне скупштине, који обављају послове за председника Народне скупштине и потпредседника Народне скупштине, заснивају радни однос на одређено време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док траје дужност функционера, а најдуже до краја сазива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17.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Запослени ангажовани на радним местима консултаната у посланичкој групи у Народној скупштини, заснивају радни однос на одређено време као самостални извршиоци, док постоји посланичка група за коју обављају послове, а најдуже до краја сазива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18.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Правилником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 унутрашњем уређењу и систематизацији радних места у Служби </w:t>
      </w:r>
      <w:r>
        <w:rPr>
          <w:rFonts w:ascii="Arial" w:eastAsia="Times New Roman" w:hAnsi="Arial" w:cs="Arial"/>
          <w:sz w:val="24"/>
          <w:szCs w:val="24"/>
          <w:lang w:val="sr-Latn-RS"/>
        </w:rPr>
        <w:t>утврђују се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Latn-RS"/>
        </w:rPr>
        <w:t>овлашћења и одговорности руководилаца унутрашњих јединица; радна места државних службеника на положају; извршилачка радна места по сваком звању</w:t>
      </w:r>
      <w:r>
        <w:rPr>
          <w:rFonts w:ascii="Arial" w:eastAsia="Times New Roman" w:hAnsi="Arial" w:cs="Arial"/>
          <w:sz w:val="24"/>
          <w:szCs w:val="24"/>
          <w:lang w:val="sr-Cyrl-RS"/>
        </w:rPr>
        <w:t>; радна места намештеника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свакој врсти; називи радних места, описи послова радних места и звања (за државне службенике), односно врсте (за намештенике) у која су радна места разврстана; услови за рад запосленог на радном месту (стручна спрема, радно искуство, положен државни стручни испит, посебна знања, вештине и способности), као и број државних службеника на положају, државних службеника на извршилачким радним местима и намештеника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за свако радно место.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3" w:name="toc4"/>
      <w:bookmarkStart w:id="4" w:name="toc5"/>
      <w:bookmarkEnd w:id="3"/>
      <w:bookmarkEnd w:id="4"/>
      <w:r>
        <w:rPr>
          <w:rFonts w:ascii="Arial" w:eastAsia="Times New Roman" w:hAnsi="Arial" w:cs="Arial"/>
          <w:bCs/>
          <w:sz w:val="24"/>
          <w:szCs w:val="24"/>
          <w:lang w:val="sr-Latn-RS"/>
        </w:rPr>
        <w:lastRenderedPageBreak/>
        <w:t>V. ПОПУЊАВАЊЕ ПОЛОЖАЈА, ИЗВРШИЛАЧКОГ РАДНОГ МЕСТА И РАДНОГ МЕСТА НАМЕШТЕНИКА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19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Заснивање радног односа државног службеника врши се у складу са прописима који регулишу права и дужности државног службеника.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Радно ангажовање консултаната у посланичким групама у Народној скупштини врши се у складу са актом одбора Народне скупштине надлежног за административна питања.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Заснивање радног односа намештеника, врши се у складу са општим прописима из области рада.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Спровођење интерног и јавног конкурса ради попуне упражњеног положаја или извршилачког радног места обавља конкурсна комисија која се образује и ради на начин утврђен актом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одбора Народне скупштине надлежног </w:t>
      </w:r>
      <w:r>
        <w:rPr>
          <w:rFonts w:ascii="Arial" w:eastAsia="Times New Roman" w:hAnsi="Arial" w:cs="Arial"/>
          <w:sz w:val="24"/>
          <w:szCs w:val="24"/>
          <w:lang w:val="sr-Latn-RS"/>
        </w:rPr>
        <w:t>за 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sr-Latn-RS"/>
        </w:rPr>
        <w:t>питања.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Актом из става </w:t>
      </w:r>
      <w:r>
        <w:rPr>
          <w:rFonts w:ascii="Arial" w:eastAsia="Times New Roman" w:hAnsi="Arial" w:cs="Arial"/>
          <w:sz w:val="24"/>
          <w:szCs w:val="24"/>
          <w:lang w:val="sr-Cyrl-RS"/>
        </w:rPr>
        <w:t>4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>
        <w:rPr>
          <w:rFonts w:ascii="Arial" w:eastAsia="Times New Roman" w:hAnsi="Arial" w:cs="Arial"/>
          <w:sz w:val="24"/>
          <w:szCs w:val="24"/>
          <w:lang w:val="sr-Latn-RS"/>
        </w:rPr>
        <w:t>ве тачке ближе се уређују: састав конкурсне комисије; фазе процеса селекције кандидата; садржај и начин претходне провере знања, вештина и способности; садржај и начин вођења разговора са кандидатима који су ушли у ужи избор и критеријуми и мерила за рангирање кандидата.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Cyrl-RS"/>
        </w:rPr>
      </w:pPr>
      <w:bookmarkStart w:id="5" w:name="toc6"/>
      <w:bookmarkEnd w:id="5"/>
      <w:r>
        <w:rPr>
          <w:rFonts w:ascii="Arial" w:eastAsia="Times New Roman" w:hAnsi="Arial" w:cs="Arial"/>
          <w:bCs/>
          <w:sz w:val="24"/>
          <w:szCs w:val="24"/>
          <w:lang w:val="sr-Latn-RS"/>
        </w:rPr>
        <w:t>VI. ЖАЛБЕНА КОМИСИЈА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НАРОДНЕ СКУПШТИНЕ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20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О жалбама државних службеника у Служби на решења којима се у управном поступку одлучује о њиховим правима и дужностима и о жалбама учесника интерног и јавног конкурса одлучује Жалбена комисија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Народне скупштине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Одбор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Народне скупштине надлежан </w:t>
      </w:r>
      <w:r>
        <w:rPr>
          <w:rFonts w:ascii="Arial" w:eastAsia="Times New Roman" w:hAnsi="Arial" w:cs="Arial"/>
          <w:sz w:val="24"/>
          <w:szCs w:val="24"/>
          <w:lang w:val="sr-Latn-RS"/>
        </w:rPr>
        <w:t>за административн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sr-Latn-RS"/>
        </w:rPr>
        <w:t>питања одређује број чланова и именује председника и чланове Жалбене комисије, из реда запослених у Служби, на предлог генералног секретара.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За члана Жалбене комисије може да буде именован државни службеник из другог државног органа.</w:t>
      </w:r>
    </w:p>
    <w:p w:rsidR="00680806" w:rsidRDefault="00680806" w:rsidP="00680806">
      <w:pPr>
        <w:shd w:val="clear" w:color="auto" w:fill="FFFFFF"/>
        <w:tabs>
          <w:tab w:val="left" w:pos="851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Стручно-техничке и административне послове за Жалбену комисију обавља Служба.</w:t>
      </w:r>
    </w:p>
    <w:p w:rsidR="00680806" w:rsidRDefault="00680806" w:rsidP="0068080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RS"/>
        </w:rPr>
      </w:pPr>
      <w:bookmarkStart w:id="6" w:name="toc7"/>
      <w:bookmarkEnd w:id="6"/>
      <w:r>
        <w:rPr>
          <w:rFonts w:ascii="Arial" w:eastAsia="Times New Roman" w:hAnsi="Arial" w:cs="Arial"/>
          <w:bCs/>
          <w:sz w:val="24"/>
          <w:szCs w:val="24"/>
          <w:lang w:val="sr-Latn-RS"/>
        </w:rPr>
        <w:t>VII. ПРЕЛАЗНЕ И ЗАВРШНЕ ОДРЕДБЕ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21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Генерални секретар донеће Правилник о унутрашњем уређењу и систематизацији радних места у Служби Народне скупштине, у року од </w:t>
      </w:r>
      <w:r>
        <w:rPr>
          <w:rFonts w:ascii="Arial" w:eastAsia="Times New Roman" w:hAnsi="Arial" w:cs="Arial"/>
          <w:sz w:val="24"/>
          <w:szCs w:val="24"/>
          <w:lang w:val="sr-Cyrl-RS"/>
        </w:rPr>
        <w:t>30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дана од дана ступања на снагу ове одлуке.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22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Одбор за административно-буџетска и мандатно-имунитетска питања донеће решења о постављењу на положаје, а генерални секретар решења о распоређивању државних службеника и закључиће уговоре о раду са намештеницима, у року од 15 дана од дана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ступања на снагу </w:t>
      </w:r>
      <w:r>
        <w:rPr>
          <w:rFonts w:ascii="Arial" w:eastAsia="Times New Roman" w:hAnsi="Arial" w:cs="Arial"/>
          <w:sz w:val="24"/>
          <w:szCs w:val="24"/>
          <w:lang w:val="sr-Latn-RS"/>
        </w:rPr>
        <w:t>Правилника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о унутрашњем уређењу и систематизацији радних места у Служби Народне скупштине.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  <w:t>23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Даном ступања на снагу ове одлуке престаје да важи </w:t>
      </w:r>
      <w:hyperlink r:id="rId9" w:history="1">
        <w:r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sr-Latn-RS"/>
          </w:rPr>
          <w:t>Одлука о организацији и раду Службе Народне скупштине Републике Србије</w:t>
        </w:r>
      </w:hyperlink>
      <w:r>
        <w:rPr>
          <w:rFonts w:ascii="Arial" w:eastAsia="Times New Roman" w:hAnsi="Arial" w:cs="Arial"/>
          <w:sz w:val="24"/>
          <w:szCs w:val="24"/>
          <w:lang w:val="sr-Latn-RS"/>
        </w:rPr>
        <w:t xml:space="preserve"> („Службени гласник РС“,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49/11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). </w:t>
      </w:r>
    </w:p>
    <w:p w:rsidR="00680806" w:rsidRDefault="00680806" w:rsidP="00680806">
      <w:pPr>
        <w:shd w:val="clear" w:color="auto" w:fill="FFFFFF"/>
        <w:tabs>
          <w:tab w:val="left" w:pos="851"/>
          <w:tab w:val="left" w:pos="126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  <w:t>24</w:t>
      </w:r>
      <w:r>
        <w:rPr>
          <w:rFonts w:ascii="Arial" w:eastAsia="Times New Roman" w:hAnsi="Arial" w:cs="Arial"/>
          <w:sz w:val="24"/>
          <w:szCs w:val="24"/>
          <w:lang w:val="sr-Latn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>Ова одлука ступа на снагу осмог дана од дана објављивања у „Службеном гласнику Републике Србије“.</w:t>
      </w:r>
    </w:p>
    <w:p w:rsidR="006C47D2" w:rsidRDefault="006C47D2" w:rsidP="006808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0806" w:rsidRDefault="00680806" w:rsidP="0068080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bookmarkStart w:id="7" w:name="_GoBack"/>
      <w:bookmarkEnd w:id="7"/>
      <w:r>
        <w:rPr>
          <w:rFonts w:ascii="Arial" w:eastAsia="Times New Roman" w:hAnsi="Arial" w:cs="Arial"/>
          <w:sz w:val="24"/>
          <w:szCs w:val="24"/>
          <w:lang w:val="sr-Cyrl-RS"/>
        </w:rPr>
        <w:t>РС Број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 xml:space="preserve"> 21</w:t>
      </w:r>
    </w:p>
    <w:p w:rsidR="00680806" w:rsidRDefault="00680806" w:rsidP="00CE092D">
      <w:pPr>
        <w:shd w:val="clear" w:color="auto" w:fill="FFFFFF"/>
        <w:tabs>
          <w:tab w:val="left" w:pos="851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У Београду, </w:t>
      </w:r>
      <w:r w:rsidR="00F71DCE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CE092D">
        <w:rPr>
          <w:rFonts w:ascii="Arial" w:eastAsia="Times New Roman" w:hAnsi="Arial" w:cs="Arial"/>
          <w:sz w:val="24"/>
          <w:szCs w:val="24"/>
          <w:lang w:val="sr-Cyrl-RS"/>
        </w:rPr>
        <w:t>. априла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2018. године</w:t>
      </w:r>
    </w:p>
    <w:p w:rsidR="00680806" w:rsidRPr="00CE092D" w:rsidRDefault="00680806" w:rsidP="00680806">
      <w:pPr>
        <w:shd w:val="clear" w:color="auto" w:fill="FFFFFF"/>
        <w:tabs>
          <w:tab w:val="left" w:pos="851"/>
        </w:tabs>
        <w:spacing w:after="6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E092D">
        <w:rPr>
          <w:rFonts w:ascii="Arial" w:eastAsia="Times New Roman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680806" w:rsidRDefault="00680806" w:rsidP="00CE092D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680806" w:rsidRDefault="00680806" w:rsidP="00CE092D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  <w:t>Маја Гојковић</w:t>
      </w:r>
    </w:p>
    <w:p w:rsidR="00680806" w:rsidRDefault="00680806" w:rsidP="00680806">
      <w:pPr>
        <w:shd w:val="clear" w:color="auto" w:fill="FFFFFF"/>
        <w:tabs>
          <w:tab w:val="left" w:pos="851"/>
          <w:tab w:val="center" w:pos="6480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62E49" w:rsidRDefault="00B62E49"/>
    <w:sectPr w:rsidR="00B62E49" w:rsidSect="00885B8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8F" w:rsidRDefault="00885B8F" w:rsidP="00885B8F">
      <w:pPr>
        <w:spacing w:after="0" w:line="240" w:lineRule="auto"/>
      </w:pPr>
      <w:r>
        <w:separator/>
      </w:r>
    </w:p>
  </w:endnote>
  <w:endnote w:type="continuationSeparator" w:id="0">
    <w:p w:rsidR="00885B8F" w:rsidRDefault="00885B8F" w:rsidP="008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8F" w:rsidRDefault="00885B8F" w:rsidP="00885B8F">
      <w:pPr>
        <w:spacing w:after="0" w:line="240" w:lineRule="auto"/>
      </w:pPr>
      <w:r>
        <w:separator/>
      </w:r>
    </w:p>
  </w:footnote>
  <w:footnote w:type="continuationSeparator" w:id="0">
    <w:p w:rsidR="00885B8F" w:rsidRDefault="00885B8F" w:rsidP="0088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151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B8F" w:rsidRDefault="00885B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7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5B8F" w:rsidRDefault="0088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06"/>
    <w:rsid w:val="00680806"/>
    <w:rsid w:val="006C47D2"/>
    <w:rsid w:val="00885B8F"/>
    <w:rsid w:val="00B62E49"/>
    <w:rsid w:val="00CA03AE"/>
    <w:rsid w:val="00CC4AD5"/>
    <w:rsid w:val="00CE092D"/>
    <w:rsid w:val="00DA241C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F"/>
  </w:style>
  <w:style w:type="paragraph" w:styleId="Footer">
    <w:name w:val="footer"/>
    <w:basedOn w:val="Normal"/>
    <w:link w:val="Foot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F"/>
  </w:style>
  <w:style w:type="paragraph" w:styleId="Footer">
    <w:name w:val="footer"/>
    <w:basedOn w:val="Normal"/>
    <w:link w:val="FooterChar"/>
    <w:uiPriority w:val="99"/>
    <w:unhideWhenUsed/>
    <w:rsid w:val="008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2421&amp;action=propis&amp;path=07242101.html&amp;domen=0&amp;mark=false&amp;query=odluka+o+organizaciji+i+radu+&amp;tipPretrage=1&amp;tipPropisa=1&amp;domen=0&amp;mojiPropisi=false&amp;datumOd=&amp;datumDo=&amp;groups=-%40--%40--%40--%40--%40-&amp;anchor=c0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72421&amp;action=propis&amp;path=07242101.html&amp;domen=0&amp;mark=false&amp;query=odluka+o+organizaciji+i+radu+&amp;tipPretrage=1&amp;tipPropisa=1&amp;domen=0&amp;mojiPropisi=false&amp;datumOd=&amp;datumDo=&amp;groups=-%40--%40--%40--%40--%40-&amp;anchor=c0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45309&amp;action=propis&amp;path=04530901.html&amp;domen=0&amp;mark=false&amp;query=odluka+o+organizaciji+i+radu+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cp:lastPrinted>2018-04-18T07:33:00Z</cp:lastPrinted>
  <dcterms:created xsi:type="dcterms:W3CDTF">2018-04-18T07:33:00Z</dcterms:created>
  <dcterms:modified xsi:type="dcterms:W3CDTF">2018-04-18T07:33:00Z</dcterms:modified>
</cp:coreProperties>
</file>